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line="555" w:lineRule="atLeast"/>
        <w:ind w:left="0" w:right="0" w:firstLine="0"/>
        <w:jc w:val="center"/>
        <w:rPr>
          <w:rFonts w:ascii="Calibri" w:hAnsi="Calibri" w:cs="Calibri"/>
          <w:color w:val="333333"/>
          <w:sz w:val="21"/>
          <w:szCs w:val="21"/>
        </w:rPr>
      </w:pPr>
      <w:r>
        <w:rPr>
          <w:rStyle w:val="4"/>
          <w:rFonts w:ascii="外交小标宋" w:hAnsi="外交小标宋" w:eastAsia="外交小标宋" w:cs="外交小标宋"/>
          <w:color w:val="333333"/>
          <w:sz w:val="28"/>
          <w:szCs w:val="28"/>
          <w:bdr w:val="none" w:color="auto" w:sz="0" w:space="0"/>
          <w:shd w:val="clear" w:fill="FFFFFF"/>
        </w:rPr>
        <w:t>  </w:t>
      </w:r>
      <w:r>
        <w:rPr>
          <w:rStyle w:val="4"/>
          <w:rFonts w:hint="default" w:ascii="外交小标宋" w:hAnsi="外交小标宋" w:eastAsia="外交小标宋" w:cs="外交小标宋"/>
          <w:color w:val="333333"/>
          <w:sz w:val="28"/>
          <w:szCs w:val="28"/>
          <w:bdr w:val="none" w:color="auto" w:sz="0" w:space="0"/>
          <w:shd w:val="clear" w:fill="FFFFFF"/>
        </w:rPr>
        <w:t>中外互免签证协定一览表</w:t>
      </w:r>
    </w:p>
    <w:p>
      <w:pPr>
        <w:pStyle w:val="2"/>
        <w:keepNext w:val="0"/>
        <w:keepLines w:val="0"/>
        <w:widowControl/>
        <w:suppressLineNumbers w:val="0"/>
        <w:spacing w:before="0" w:beforeAutospacing="0" w:after="0" w:afterAutospacing="0" w:line="555" w:lineRule="atLeast"/>
        <w:ind w:left="0" w:right="0" w:firstLine="0"/>
        <w:jc w:val="center"/>
        <w:rPr>
          <w:rFonts w:hint="default" w:ascii="Calibri" w:hAnsi="Calibri" w:cs="Calibri"/>
          <w:color w:val="333333"/>
          <w:sz w:val="21"/>
          <w:szCs w:val="21"/>
        </w:rPr>
      </w:pPr>
      <w:r>
        <w:rPr>
          <w:rFonts w:ascii="外交粗仿宋" w:hAnsi="外交粗仿宋" w:eastAsia="外交粗仿宋" w:cs="外交粗仿宋"/>
          <w:color w:val="333333"/>
          <w:sz w:val="21"/>
          <w:szCs w:val="21"/>
          <w:bdr w:val="none" w:color="auto" w:sz="0" w:space="0"/>
          <w:shd w:val="clear" w:fill="FFFFFF"/>
        </w:rPr>
        <w:t>（更新至20</w:t>
      </w:r>
      <w:r>
        <w:rPr>
          <w:rFonts w:hint="default" w:ascii="外交粗仿宋" w:hAnsi="外交粗仿宋" w:eastAsia="外交粗仿宋" w:cs="外交粗仿宋"/>
          <w:color w:val="333333"/>
          <w:sz w:val="21"/>
          <w:szCs w:val="21"/>
          <w:bdr w:val="none" w:color="auto" w:sz="0" w:space="0"/>
          <w:shd w:val="clear" w:fill="FFFFFF"/>
        </w:rPr>
        <w:t>22年7月8日）</w:t>
      </w:r>
    </w:p>
    <w:p>
      <w:pPr>
        <w:pStyle w:val="2"/>
        <w:keepNext w:val="0"/>
        <w:keepLines w:val="0"/>
        <w:widowControl/>
        <w:suppressLineNumbers w:val="0"/>
        <w:spacing w:before="0" w:beforeAutospacing="0" w:after="0" w:afterAutospacing="0" w:line="555" w:lineRule="atLeast"/>
        <w:ind w:left="0" w:right="0" w:firstLine="0"/>
        <w:jc w:val="center"/>
        <w:rPr>
          <w:rFonts w:hint="default" w:ascii="Calibri" w:hAnsi="Calibri" w:cs="Calibri"/>
          <w:color w:val="333333"/>
          <w:sz w:val="21"/>
          <w:szCs w:val="21"/>
        </w:rPr>
      </w:pPr>
      <w:r>
        <w:rPr>
          <w:rStyle w:val="4"/>
          <w:rFonts w:ascii="仿宋_GB2312" w:hAnsi="Calibri" w:eastAsia="仿宋_GB2312" w:cs="仿宋_GB2312"/>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color w:val="333333"/>
          <w:sz w:val="21"/>
          <w:szCs w:val="21"/>
        </w:rPr>
      </w:pPr>
      <w:r>
        <w:rPr>
          <w:rFonts w:hint="default" w:ascii="外交粗仿宋" w:hAnsi="外交粗仿宋" w:eastAsia="外交粗仿宋" w:cs="外交粗仿宋"/>
          <w:color w:val="333333"/>
          <w:sz w:val="24"/>
          <w:szCs w:val="24"/>
          <w:bdr w:val="none" w:color="auto" w:sz="0" w:space="0"/>
          <w:shd w:val="clear" w:fill="FFFFFF"/>
        </w:rPr>
        <w:t>截至目前，中华人民共和国与下列国家缔结互免签证协定。中国公民持所适用的护照前往下列国家短期旅行通常无需事先申请签证。</w:t>
      </w:r>
    </w:p>
    <w:p>
      <w:pPr>
        <w:pStyle w:val="2"/>
        <w:keepNext w:val="0"/>
        <w:keepLines w:val="0"/>
        <w:widowControl/>
        <w:suppressLineNumbers w:val="0"/>
        <w:spacing w:before="0" w:beforeAutospacing="0" w:after="0" w:afterAutospacing="0" w:line="555" w:lineRule="atLeast"/>
        <w:ind w:left="0" w:right="0" w:firstLine="645"/>
        <w:jc w:val="both"/>
        <w:rPr>
          <w:rFonts w:hint="default" w:ascii="Calibri" w:hAnsi="Calibri" w:cs="Calibri"/>
          <w:color w:val="333333"/>
          <w:sz w:val="21"/>
          <w:szCs w:val="21"/>
        </w:rPr>
      </w:pPr>
      <w:r>
        <w:rPr>
          <w:rFonts w:hint="eastAsia" w:ascii="仿宋_GB2312" w:hAnsi="Calibri" w:eastAsia="仿宋_GB2312" w:cs="仿宋_GB2312"/>
          <w:color w:val="333333"/>
          <w:sz w:val="24"/>
          <w:szCs w:val="24"/>
          <w:bdr w:val="none" w:color="auto" w:sz="0" w:space="0"/>
          <w:shd w:val="clear" w:fill="FFFFFF"/>
        </w:rPr>
        <w:t> </w:t>
      </w:r>
    </w:p>
    <w:tbl>
      <w:tblPr>
        <w:tblW w:w="8515"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31"/>
        <w:gridCol w:w="1470"/>
        <w:gridCol w:w="4305"/>
        <w:gridCol w:w="1515"/>
        <w:gridCol w:w="594"/>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single" w:color="000000" w:sz="12" w:space="0"/>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rPr>
              <w:t>序号</w:t>
            </w:r>
          </w:p>
        </w:tc>
        <w:tc>
          <w:tcPr>
            <w:tcW w:w="1470" w:type="dxa"/>
            <w:tcBorders>
              <w:top w:val="single" w:color="000000" w:sz="12"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rPr>
              <w:t>协议国</w:t>
            </w:r>
          </w:p>
        </w:tc>
        <w:tc>
          <w:tcPr>
            <w:tcW w:w="4305" w:type="dxa"/>
            <w:tcBorders>
              <w:top w:val="single" w:color="000000" w:sz="12"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rPr>
              <w:t>互免签证的证件类别</w:t>
            </w:r>
          </w:p>
        </w:tc>
        <w:tc>
          <w:tcPr>
            <w:tcW w:w="1515" w:type="dxa"/>
            <w:tcBorders>
              <w:top w:val="single" w:color="000000" w:sz="12"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rPr>
              <w:t>生效日期</w:t>
            </w:r>
          </w:p>
        </w:tc>
        <w:tc>
          <w:tcPr>
            <w:tcW w:w="594" w:type="dxa"/>
            <w:tcBorders>
              <w:top w:val="single" w:color="000000" w:sz="12" w:space="0"/>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rPr>
              <w:t>备注</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阿尔巴尼亚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1956.08.25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阿尔及利亚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2019.03.13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阿富汗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2015.07.16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阿根廷</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中方外交、公务护照；阿方外交、官员护照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1993.08.14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阿联酋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2012.03.21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2016.01.11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2018.01.16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阿曼</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中方外交、公务护照；阿方外交、公务和特别护照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2010.04.16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阿塞拜疆</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1994.02.10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1994.05.01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爱尔兰</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中方外交护照、公务和公务普通护照（公务和公务普通护照限于随部长级及以上代表团出访者）；爱方外交护照、官员护照（官员护照限于随部长级及以上代表团出访者）</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2015.09.23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埃及</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中方外交、公务护照；埃方外交、特别护照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2007.01.27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埃塞俄比亚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2015.12.07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爱沙尼亚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安哥拉</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2015.04.11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奥地利</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巴巴多斯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中方外交、公务、公务普通护照；巴方外交、官员护照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2014.08.02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2017.06.01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巴布亚新几内亚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中方外交、公务、公务普通护照；巴方外交、公务护照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2019.05.02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巴哈马</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中方外交、公务、公务普通、普通护照；巴方外交、官员、普通护照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2014.02.12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17</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巴基斯坦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中方外交、公务护照；巴方外交、官员护照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1987.08.16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1988.04.30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中方外交、公务、公务普通护照；巴方外交、特别护照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2018.10.25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巴拿马</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中方外交、公务、公务普通护照；巴方外交、公务护照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2017.10.28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巴西</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中方外交、公务护照；巴方外交、官员护照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2004.08.10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21</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白俄罗斯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1993.03.01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2018.8.10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22</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保加利亚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2012.04.04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贝宁</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中方外交、公务、公务普通护照；贝方外交、公务、附有“公务证明”的普通护照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1993.11.06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比利时</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秘鲁</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中方外交、公务护照；秘方外交、特别护照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2004.05.12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冰岛</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2017.06.01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博茨瓦纳</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中方外交、公务、公务普通护照；博方外交、公务、官员护照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2018.12.22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28</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波黑</w:t>
            </w:r>
          </w:p>
        </w:tc>
        <w:tc>
          <w:tcPr>
            <w:tcW w:w="430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中方外交、公务、公务普通护照；波方外交、公务护照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1980.01.09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2017.10.04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2018.05.29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29</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波兰</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外交、公务护照、海员证、机组人员证件</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1992.07.27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30</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玻利维亚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中方外交、公务护照；玻方外交、官员护照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1987.11.15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2008.01.18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布基纳法索</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中方外交、公务、公务普通护照；布方外交、公务护照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2018.11.18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布隆迪</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2014.11.25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33</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朝鲜</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1956.10.01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中方公务普通护照、朝方公务团体护照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1965.01.01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34</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赤道几内亚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中方外交、公务护照；赤方外交、官员护照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2006.01.01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中方公务普通护照、赤方特别公务护照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2017.08.06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丹麦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德国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东帝汶</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2015.06.24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多哥</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2015.05.07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多米尼加</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中方外交、公务、公务普通护照；多方外交、官员护照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2021.01.08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多米尼克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中方外交、公务、公务普通护照；多方外交、官员护照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2014.03.29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41</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厄瓜多尔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中方外交、公务护照；厄方外交、官员护照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1987.07.11</w:t>
            </w:r>
          </w:p>
        </w:tc>
        <w:tc>
          <w:tcPr>
            <w:tcW w:w="594" w:type="dxa"/>
            <w:vMerge w:val="restart"/>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中方公务普通护照；厄方特别护照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1988.12.25</w:t>
            </w:r>
          </w:p>
        </w:tc>
        <w:tc>
          <w:tcPr>
            <w:tcW w:w="594" w:type="dxa"/>
            <w:vMerge w:val="continue"/>
            <w:tcBorders>
              <w:top w:val="nil"/>
              <w:left w:val="nil"/>
              <w:bottom w:val="single" w:color="000000" w:sz="6" w:space="0"/>
              <w:right w:val="single" w:color="000000" w:sz="12" w:space="0"/>
            </w:tcBorders>
            <w:shd w:val="clear"/>
            <w:tcMar>
              <w:left w:w="105" w:type="dxa"/>
              <w:right w:w="105" w:type="dxa"/>
            </w:tcMar>
            <w:vAlign w:val="center"/>
          </w:tcPr>
          <w:p>
            <w:pPr>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 普通护照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2016.08.18</w:t>
            </w:r>
          </w:p>
        </w:tc>
        <w:tc>
          <w:tcPr>
            <w:tcW w:w="594" w:type="dxa"/>
            <w:vMerge w:val="continue"/>
            <w:tcBorders>
              <w:top w:val="nil"/>
              <w:left w:val="nil"/>
              <w:bottom w:val="single" w:color="000000" w:sz="6" w:space="0"/>
              <w:right w:val="single" w:color="000000" w:sz="12" w:space="0"/>
            </w:tcBorders>
            <w:shd w:val="clear"/>
            <w:tcMar>
              <w:left w:w="105" w:type="dxa"/>
              <w:right w:w="105" w:type="dxa"/>
            </w:tcMar>
            <w:vAlign w:val="center"/>
          </w:tcPr>
          <w:p>
            <w:pPr>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厄立特里亚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2015.04.15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43</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俄罗斯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2000.12.01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外交、公务护照，随车、飞机、船执行公务的国际列车车组人员、机组人员、持海员证船员</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2014.04.26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法国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斐济</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2015.03.14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菲律宾</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中方外交、公务护照（限临时访问人员）；菲方外交、官员护照（限临时访问人员）</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2005.02.28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芬兰</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佛得角</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2015.07.11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49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冈比亚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中方外交、公务、公务普通护照；冈方外交、公务护照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 2018.06.10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刚果（布）</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2014.08.07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51</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格林纳达</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中方外交、公务护照；格方外交、官员护照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2010.01.17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公务普通、普通护照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2015.06.10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52</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哥伦比亚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1987.11.14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中方公务护照；哥方官员护照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1991.11.14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哥斯达黎加</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2008.01.15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格鲁吉亚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1994.02.03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古巴</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中方外交、公务、公务普通护照；古方外交、公务、官员护照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2021.07.16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圭亚那</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中方外交、公务、公务普通护照；圭方外交、官员护照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1998.08.19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57</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韩国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2013.08.10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中方公务护照； 韩方官员护照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2014.12.25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哈萨克斯坦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1994.02.01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59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荷兰</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黑山</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2013.03.01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加纳</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2017.03.28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加蓬</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2016.02.05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吉布提</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2014.12.04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吉尔吉斯斯坦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2003.06.14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几内亚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2017.09.16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柬埔寨</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2006.09.14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捷克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津巴布韦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2014.11.12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69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喀麦隆</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2017.08.12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卡塔尔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中方外交、公务、公务普通、普通护照；卡方外交、特别、公务、普通护照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2018.12.21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71</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克罗地亚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中方外交、公务护照；克方外交、官员护照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1995.04.09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科摩罗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2016.02.26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科特迪瓦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2015.12.19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科威特</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中方外交、公务、公务普通护照；科方外交、特别护照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2014.10.17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肯尼亚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中方外交、公务护照；肯方外交、官员护照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2014.08.17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拉脱维亚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莱索托</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中方外交、公务护照；莱方外交、官员护照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2016.08.24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老挝</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中方外交、公务、公务普通护照；老方外交、公务、加注有效公务签证的普通护照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1989.11.06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79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利比里亚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2016.02.10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80</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立陶宛</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外交、公务护照、海员证（随船）</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1992.09.14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卢森堡</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卢旺达</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中方外交、公务、公务普通护照；卢方外交、公务护照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2018.12.23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83</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罗马尼亚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1981.09.16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马尔代夫</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1984.11.27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85</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马耳他</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2008.03.06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马里</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2015.05.09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马来西亚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中方外交、公务护照；马方外交、官员护照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2011.05.18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马其顿</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中方外交、公务、公务普通护照；马方外交、公务、标有“公务”字样的普通护照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1994.07.19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89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毛里求斯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2013.10.31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毛里塔尼亚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中方外交、公务、公务普通护照；毛方外交、公务护照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2017.05.15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蒙古</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1989.04.30</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孟加拉国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中方外交、公务、公务普通护照；孟方外交、官员、加注“政府公务”或“免费”字样的普通护照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1989.12.18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缅甸</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中方外交、公务护照；缅方外交、官员护照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1998.03.05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摩尔多瓦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中方外交、公务、公务普通护照；摩方外交、公务、加注“公务”字样的普通护照；团体旅游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95</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摩洛哥</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2014.03.06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中方公务普通、摩方特别护照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2016.06.09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莫桑比克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2016.05.14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墨西哥</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中方外交、公务护照；墨方外交、官员护照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1998.01.01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98</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南非</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2010.11.27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2016.03.01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99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南苏丹</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中方外交、公务、公务普通护照；南方外交、特别护照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2019.03.28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尼泊尔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中方外交、公务护照；尼方外交、官员护照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2006.10.16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尼加拉瓜</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中方外交、公务、公务普通；尼方外交、官员、公务</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2022.07.07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尼日尔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中方外交、公务、公务普通护照；尼方外交、公务护照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2018.12.15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尼日利亚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2014.02.01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2"/>
                <w:szCs w:val="22"/>
                <w:bdr w:val="none" w:color="auto" w:sz="0" w:space="0"/>
              </w:rPr>
              <w:t>104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2"/>
                <w:szCs w:val="22"/>
                <w:bdr w:val="none" w:color="auto" w:sz="0" w:space="0"/>
              </w:rPr>
              <w:t>挪威</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2"/>
                <w:szCs w:val="22"/>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2"/>
                <w:szCs w:val="22"/>
                <w:bdr w:val="none" w:color="auto" w:sz="0" w:space="0"/>
              </w:rPr>
              <w:t>2018.06.18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葡萄牙</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瑞典</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瑞士</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2016.01.29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萨摩亚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中方外交、公务护照；萨方外交、官员护照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2011.02.18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109</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塞尔维亚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中方外交、公务、公务普通护照；塞方外交、公务、加注“公务”字样的普通护照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1980.01.09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塞拉利昂</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中方外交、公务、公务普通护照；塞方外交、公务护照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2018.12.24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塞内加尔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2014.05.03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112</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塞浦路斯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1991.10.02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塞舌尔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2013.06.26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圣多美和普林西比</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中方外交、公务、公务普通护照；圣普方外交、特别公务护照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2018.02.03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圣马力诺</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1985.07.22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斯里兰卡</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中方外交、公务、公务普通护照；斯方外交、官员护照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2013.04.18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117</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斯洛伐克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中方外交、公务护照；斯方外交、公务、特别护照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1956.06.01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118</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斯洛文尼亚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1994.07.01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119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苏丹</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中方外交、公务护照；苏方外交、特别、官员护照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1995.10.26</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苏里南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2021.05.01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塔吉克斯坦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中方外交、公务、公务普通；塔方外交、公务、加注“公务”字样的普通护照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1993.06.01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泰国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中方外交、公务护照；泰方外交、官员护照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2003.10.18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坦桑尼亚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2005.07.11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124</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汤加</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中方外交、公务、公务普通护照；汤方外交、官员护照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2012.11.10</w:t>
            </w:r>
          </w:p>
        </w:tc>
        <w:tc>
          <w:tcPr>
            <w:tcW w:w="594" w:type="dxa"/>
            <w:vMerge w:val="restart"/>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2016.08.19</w:t>
            </w:r>
          </w:p>
        </w:tc>
        <w:tc>
          <w:tcPr>
            <w:tcW w:w="594" w:type="dxa"/>
            <w:vMerge w:val="continue"/>
            <w:tcBorders>
              <w:top w:val="nil"/>
              <w:left w:val="nil"/>
              <w:bottom w:val="single" w:color="000000" w:sz="6" w:space="0"/>
              <w:right w:val="single" w:color="000000" w:sz="12" w:space="0"/>
            </w:tcBorders>
            <w:shd w:val="clear"/>
            <w:tcMar>
              <w:left w:w="105" w:type="dxa"/>
              <w:right w:w="105" w:type="dxa"/>
            </w:tcMar>
            <w:vAlign w:val="center"/>
          </w:tcPr>
          <w:p>
            <w:pPr>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特立尼达和多巴哥</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中方外交、公务护照；特方外交、官员护照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2006.11.23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突尼斯</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中方外交、公务护照；突方外交、特别护照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2006.09.29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127</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土耳其</w:t>
            </w:r>
          </w:p>
        </w:tc>
        <w:tc>
          <w:tcPr>
            <w:tcW w:w="4305" w:type="dxa"/>
            <w:tcBorders>
              <w:top w:val="nil"/>
              <w:left w:val="nil"/>
              <w:bottom w:val="nil"/>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中方外交、公务、公务普通护照；土方外交、公务、特别</w:t>
            </w:r>
          </w:p>
        </w:tc>
        <w:tc>
          <w:tcPr>
            <w:tcW w:w="1515"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1989.12.24</w:t>
            </w:r>
          </w:p>
        </w:tc>
        <w:tc>
          <w:tcPr>
            <w:tcW w:w="594" w:type="dxa"/>
            <w:vMerge w:val="restart"/>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护照</w:t>
            </w:r>
          </w:p>
        </w:tc>
        <w:tc>
          <w:tcPr>
            <w:tcW w:w="1515"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594" w:type="dxa"/>
            <w:vMerge w:val="continue"/>
            <w:tcBorders>
              <w:top w:val="nil"/>
              <w:left w:val="nil"/>
              <w:bottom w:val="single" w:color="000000" w:sz="6" w:space="0"/>
              <w:right w:val="single" w:color="000000" w:sz="12" w:space="0"/>
            </w:tcBorders>
            <w:shd w:val="clear"/>
            <w:tcMar>
              <w:left w:w="105" w:type="dxa"/>
              <w:right w:w="105" w:type="dxa"/>
            </w:tcMar>
            <w:vAlign w:val="center"/>
          </w:tcPr>
          <w:p>
            <w:pPr>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土库曼斯坦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中方外交、公务、公务普通护照；土方外交、公务、加注“公务”字样的普通护照；团体旅游</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1993.02.01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129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瓦努阿图</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中方外交、公务护照；瓦方外交、官员护照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2020.04.19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130</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委内瑞拉</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2014.01.08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文莱</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中方外交、公务护照；文方外交、官员护照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2005.06.18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乌克兰</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外交、公务护照和海员证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2002.03.31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133</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乌拉圭</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中方常驻乌方使领馆人员所持外交、公务护照，乌方常驻中方使领馆人员所持外交、官员护照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1988.11.07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中方外交、公务、公务普通护照；乌方外交、公务护照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乌兹别克斯坦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2010.07.09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西班牙</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136</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希腊</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新加坡</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2011.04.17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138</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匈牙利</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1992.05.28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139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牙买加</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中方外交、公务护照；牙方外交、官员护照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1995.06.08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140</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亚美尼亚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中方外交、公务、公务普通护照；亚方外交、公务、公务普通、加注“公务”字样的普通护照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1994.08.03</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2020.01.19</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141</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意大利</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142</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伊朗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1989.07.12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143</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伊拉克</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2016.11.02</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144</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以色列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2016.01.17</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145</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印度尼西亚</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外交、公务护照（限临时访问人员）</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2005.11.14</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vMerge w:val="restart"/>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146</w:t>
            </w:r>
          </w:p>
        </w:tc>
        <w:tc>
          <w:tcPr>
            <w:tcW w:w="1470" w:type="dxa"/>
            <w:vMerge w:val="restart"/>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英国</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中方外交护照、公务和公务普通护照（公务和公务普通护照限于随部长级及以上代表团出访者）；英方外交护照、官员护照（官员护照限于随部长级及以上代表团出访者）</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2007.10.25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vMerge w:val="continue"/>
            <w:tcBorders>
              <w:top w:val="nil"/>
              <w:left w:val="single" w:color="000000" w:sz="12" w:space="0"/>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14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新宋体" w:hAnsi="新宋体" w:eastAsia="新宋体" w:cs="新宋体"/>
                <w:sz w:val="18"/>
                <w:szCs w:val="18"/>
              </w:rPr>
            </w:pP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欧盟通行证</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2017.01.01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147</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约旦</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中方外交、公务护照；约方外交、公务、特别护照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1993.03.11</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148</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越南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外交、公务、公务普通护照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1992.03.15</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149</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乍得</w:t>
            </w:r>
          </w:p>
        </w:tc>
        <w:tc>
          <w:tcPr>
            <w:tcW w:w="430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中方外交、公务、公务普通护照；乍方外交、公务护照</w:t>
            </w:r>
          </w:p>
        </w:tc>
        <w:tc>
          <w:tcPr>
            <w:tcW w:w="151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2019.11.18</w:t>
            </w:r>
          </w:p>
        </w:tc>
        <w:tc>
          <w:tcPr>
            <w:tcW w:w="594" w:type="dxa"/>
            <w:tcBorders>
              <w:top w:val="nil"/>
              <w:left w:val="nil"/>
              <w:bottom w:val="single" w:color="000000" w:sz="6"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 w:hRule="atLeast"/>
        </w:trPr>
        <w:tc>
          <w:tcPr>
            <w:tcW w:w="631" w:type="dxa"/>
            <w:tcBorders>
              <w:top w:val="nil"/>
              <w:left w:val="single" w:color="000000" w:sz="12" w:space="0"/>
              <w:bottom w:val="single" w:color="000000" w:sz="12"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150</w:t>
            </w:r>
          </w:p>
        </w:tc>
        <w:tc>
          <w:tcPr>
            <w:tcW w:w="1470" w:type="dxa"/>
            <w:tcBorders>
              <w:top w:val="nil"/>
              <w:left w:val="nil"/>
              <w:bottom w:val="single" w:color="000000" w:sz="12"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智利</w:t>
            </w:r>
          </w:p>
        </w:tc>
        <w:tc>
          <w:tcPr>
            <w:tcW w:w="4305" w:type="dxa"/>
            <w:tcBorders>
              <w:top w:val="nil"/>
              <w:left w:val="nil"/>
              <w:bottom w:val="single" w:color="000000" w:sz="12"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中方外交、公务护照；智方外交、官员护照</w:t>
            </w:r>
          </w:p>
        </w:tc>
        <w:tc>
          <w:tcPr>
            <w:tcW w:w="1515" w:type="dxa"/>
            <w:tcBorders>
              <w:top w:val="nil"/>
              <w:left w:val="nil"/>
              <w:bottom w:val="single" w:color="000000" w:sz="12" w:space="0"/>
              <w:right w:val="single" w:color="000000" w:sz="6" w:space="0"/>
            </w:tcBorders>
            <w:shd w:val="clear"/>
            <w:tcMar>
              <w:left w:w="105"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default" w:ascii="Calibri" w:hAnsi="Calibri" w:cs="Calibri"/>
                <w:color w:val="333333"/>
                <w:sz w:val="21"/>
                <w:szCs w:val="21"/>
              </w:rPr>
            </w:pPr>
            <w:r>
              <w:rPr>
                <w:rFonts w:hint="default" w:ascii="外交粗仿宋" w:hAnsi="外交粗仿宋" w:eastAsia="外交粗仿宋" w:cs="外交粗仿宋"/>
                <w:color w:val="333333"/>
                <w:sz w:val="21"/>
                <w:szCs w:val="21"/>
                <w:bdr w:val="none" w:color="auto" w:sz="0" w:space="0"/>
              </w:rPr>
              <w:t>1986.05.07</w:t>
            </w:r>
          </w:p>
        </w:tc>
        <w:tc>
          <w:tcPr>
            <w:tcW w:w="594" w:type="dxa"/>
            <w:tcBorders>
              <w:top w:val="nil"/>
              <w:left w:val="nil"/>
              <w:bottom w:val="single" w:color="000000" w:sz="12" w:space="0"/>
              <w:right w:val="single" w:color="000000" w:sz="12" w:space="0"/>
            </w:tcBorders>
            <w:shd w:val="clear"/>
            <w:tcMar>
              <w:left w:w="105" w:type="dxa"/>
              <w:right w:w="105" w:type="dxa"/>
            </w:tcMar>
            <w:vAlign w:val="center"/>
          </w:tcPr>
          <w:p>
            <w:pPr>
              <w:keepNext w:val="0"/>
              <w:keepLines w:val="0"/>
              <w:widowControl/>
              <w:suppressLineNumbers w:val="0"/>
              <w:jc w:val="left"/>
              <w:rPr>
                <w:rFonts w:hint="eastAsia" w:ascii="新宋体" w:hAnsi="新宋体" w:eastAsia="新宋体" w:cs="新宋体"/>
                <w:sz w:val="18"/>
                <w:szCs w:val="18"/>
              </w:rPr>
            </w:pPr>
          </w:p>
        </w:tc>
      </w:tr>
    </w:tbl>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eastAsia" w:ascii="仿宋_GB2312" w:hAnsi="Calibri" w:eastAsia="仿宋_GB2312" w:cs="仿宋_GB2312"/>
          <w:color w:val="333333"/>
          <w:sz w:val="21"/>
          <w:szCs w:val="21"/>
          <w:bdr w:val="none" w:color="auto" w:sz="0" w:space="0"/>
          <w:shd w:val="clear" w:fill="FFFFFF"/>
        </w:rPr>
        <w:t> </w:t>
      </w:r>
    </w:p>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eastAsia" w:ascii="仿宋_GB2312" w:hAnsi="Calibri" w:eastAsia="仿宋_GB2312" w:cs="仿宋_GB2312"/>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default" w:ascii="外交粗仿宋" w:hAnsi="外交粗仿宋" w:eastAsia="外交粗仿宋" w:cs="外交粗仿宋"/>
          <w:color w:val="333333"/>
          <w:sz w:val="24"/>
          <w:szCs w:val="24"/>
          <w:bdr w:val="none" w:color="auto" w:sz="0" w:space="0"/>
          <w:shd w:val="clear" w:fill="FFFFFF"/>
        </w:rPr>
        <w:t>注：*1  目前适用中国与前南斯拉夫社会主义联邦共和国有关协议。</w:t>
      </w:r>
    </w:p>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default" w:ascii="外交粗仿宋" w:hAnsi="外交粗仿宋" w:eastAsia="外交粗仿宋" w:cs="外交粗仿宋"/>
          <w:color w:val="333333"/>
          <w:sz w:val="24"/>
          <w:szCs w:val="24"/>
          <w:bdr w:val="none" w:color="auto" w:sz="0" w:space="0"/>
          <w:shd w:val="clear" w:fill="FFFFFF"/>
        </w:rPr>
        <w:t>    *2  目前适用中国与前捷克斯洛伐克共和国有关协议。</w:t>
      </w:r>
    </w:p>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default" w:ascii="外交粗仿宋" w:hAnsi="外交粗仿宋" w:eastAsia="外交粗仿宋" w:cs="外交粗仿宋"/>
          <w:color w:val="333333"/>
          <w:sz w:val="24"/>
          <w:szCs w:val="24"/>
          <w:bdr w:val="none" w:color="auto" w:sz="0" w:space="0"/>
          <w:shd w:val="clear" w:fill="FFFFFF"/>
        </w:rPr>
        <w:t>    *3  适用《中国与欧盟关于互免持外交护照人员短期停留签证的协定》。</w:t>
      </w:r>
    </w:p>
    <w:p>
      <w:pPr>
        <w:pStyle w:val="2"/>
        <w:keepNext w:val="0"/>
        <w:keepLines w:val="0"/>
        <w:widowControl/>
        <w:suppressLineNumbers w:val="0"/>
        <w:spacing w:before="0" w:beforeAutospacing="0" w:after="0" w:afterAutospacing="0" w:line="360" w:lineRule="atLeast"/>
        <w:ind w:left="0" w:right="0" w:firstLine="0"/>
        <w:jc w:val="both"/>
        <w:rPr>
          <w:rFonts w:hint="default" w:ascii="Calibri" w:hAnsi="Calibri" w:cs="Calibri"/>
          <w:color w:val="333333"/>
          <w:sz w:val="21"/>
          <w:szCs w:val="21"/>
        </w:rPr>
      </w:pPr>
      <w:r>
        <w:rPr>
          <w:rFonts w:hint="default" w:ascii="外交粗仿宋" w:hAnsi="外交粗仿宋" w:eastAsia="外交粗仿宋" w:cs="外交粗仿宋"/>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360" w:lineRule="atLeast"/>
        <w:ind w:left="0" w:right="0" w:firstLine="480"/>
        <w:jc w:val="both"/>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shd w:val="clear" w:fill="FFFFFF"/>
        </w:rPr>
        <w:t>免签入境并不等于可无限期在协定国停留或居住，根据协定要求，持有关护照免签入境后，一般只允许停留不超过30 日。持照人如需停留30 日以上，按要求应尽快在当地申请办理居留手续。</w:t>
      </w:r>
    </w:p>
    <w:p>
      <w:pPr>
        <w:pStyle w:val="2"/>
        <w:keepNext w:val="0"/>
        <w:keepLines w:val="0"/>
        <w:widowControl/>
        <w:suppressLineNumbers w:val="0"/>
        <w:spacing w:before="0" w:beforeAutospacing="0" w:after="0" w:afterAutospacing="0" w:line="360" w:lineRule="atLeast"/>
        <w:ind w:left="0" w:right="0" w:firstLine="480"/>
        <w:jc w:val="both"/>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360" w:lineRule="atLeast"/>
        <w:ind w:left="0" w:right="0" w:firstLine="480"/>
        <w:jc w:val="both"/>
        <w:rPr>
          <w:rFonts w:hint="default" w:ascii="Calibri" w:hAnsi="Calibri" w:cs="Calibri"/>
          <w:color w:val="333333"/>
          <w:sz w:val="21"/>
          <w:szCs w:val="21"/>
        </w:rPr>
      </w:pPr>
      <w:r>
        <w:rPr>
          <w:rStyle w:val="4"/>
          <w:rFonts w:hint="default" w:ascii="外交粗仿宋" w:hAnsi="外交粗仿宋" w:eastAsia="外交粗仿宋" w:cs="外交粗仿宋"/>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360" w:lineRule="atLeast"/>
        <w:ind w:left="0" w:right="0"/>
        <w:jc w:val="both"/>
        <w:rPr>
          <w:rFonts w:hint="default" w:ascii="Calibri" w:hAnsi="Calibri" w:cs="Calibri"/>
          <w:color w:val="333333"/>
          <w:sz w:val="21"/>
          <w:szCs w:val="21"/>
        </w:rPr>
      </w:pPr>
      <w:r>
        <w:rPr>
          <w:rFonts w:hint="default" w:ascii="Calibri" w:hAnsi="Calibri" w:eastAsia="新宋体" w:cs="Calibri"/>
          <w:color w:val="333333"/>
          <w:sz w:val="21"/>
          <w:szCs w:val="21"/>
          <w:bdr w:val="none" w:color="auto" w:sz="0" w:space="0"/>
          <w:shd w:val="clear" w:fill="FFFFFF"/>
        </w:rPr>
        <w:t> </w:t>
      </w:r>
    </w:p>
    <w:p>
      <w:pPr>
        <w:ind w:firstLine="640"/>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外交小标宋">
    <w:altName w:val="宋体"/>
    <w:panose1 w:val="00000000000000000000"/>
    <w:charset w:val="00"/>
    <w:family w:val="auto"/>
    <w:pitch w:val="default"/>
    <w:sig w:usb0="00000000" w:usb1="00000000" w:usb2="00000000" w:usb3="00000000" w:csb0="00000000" w:csb1="00000000"/>
  </w:font>
  <w:font w:name="外交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200AD"/>
    <w:rsid w:val="077B32A2"/>
    <w:rsid w:val="14391EBC"/>
    <w:rsid w:val="15BD1CB8"/>
    <w:rsid w:val="1986426C"/>
    <w:rsid w:val="1D5E7E2B"/>
    <w:rsid w:val="1F603109"/>
    <w:rsid w:val="1FA86D80"/>
    <w:rsid w:val="38D23B45"/>
    <w:rsid w:val="3AD151A6"/>
    <w:rsid w:val="3F5A3A7F"/>
    <w:rsid w:val="45F55A2A"/>
    <w:rsid w:val="462875A5"/>
    <w:rsid w:val="469446E4"/>
    <w:rsid w:val="4A117E90"/>
    <w:rsid w:val="53A46AC8"/>
    <w:rsid w:val="587C6CBB"/>
    <w:rsid w:val="59601FE4"/>
    <w:rsid w:val="5E3D13AA"/>
    <w:rsid w:val="6105633A"/>
    <w:rsid w:val="687D22F9"/>
    <w:rsid w:val="6AD32C94"/>
    <w:rsid w:val="6C3200AD"/>
    <w:rsid w:val="6E584699"/>
    <w:rsid w:val="7D425C7B"/>
    <w:rsid w:val="7EEF72D1"/>
    <w:rsid w:val="7F9906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bdr w:val="none" w:color="auto" w:sz="0" w:space="0"/>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wsb</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2022-07-22T03:05:00Z</dcterms:created>
  <dc:creator>wsb</dc:creator>
  <cp:lastModifiedBy>wsb</cp:lastModifiedBy>
  <dcterms:modified xsi:type="dcterms:W3CDTF">2022-10-12T07:07:03Z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